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B7A" w:rsidRDefault="00B82B7A">
      <w:pPr>
        <w:ind w:firstLine="0"/>
        <w:rPr>
          <w:b/>
        </w:rPr>
      </w:pPr>
    </w:p>
    <w:p w:rsidR="00B82B7A" w:rsidRDefault="00B82B7A">
      <w:pPr>
        <w:ind w:firstLine="0"/>
        <w:rPr>
          <w:b/>
        </w:rPr>
      </w:pPr>
    </w:p>
    <w:p w:rsidR="00B82B7A" w:rsidRDefault="00B82B7A">
      <w:pPr>
        <w:ind w:firstLine="0"/>
        <w:rPr>
          <w:b/>
        </w:rPr>
      </w:pPr>
    </w:p>
    <w:p w:rsidR="00B82B7A" w:rsidRDefault="00515A3A" w:rsidP="00587D6D">
      <w:pPr>
        <w:ind w:firstLine="0"/>
        <w:jc w:val="center"/>
        <w:rPr>
          <w:b/>
        </w:rPr>
      </w:pPr>
      <w:r>
        <w:rPr>
          <w:b/>
        </w:rPr>
        <w:t>Data and Hypothesis</w:t>
      </w:r>
    </w:p>
    <w:p w:rsidR="00B82B7A" w:rsidRDefault="00B82B7A" w:rsidP="00587D6D">
      <w:pPr>
        <w:ind w:firstLine="0"/>
        <w:jc w:val="center"/>
      </w:pPr>
    </w:p>
    <w:p w:rsidR="00B82B7A" w:rsidRDefault="00B82B7A" w:rsidP="00587D6D">
      <w:pPr>
        <w:ind w:firstLine="0"/>
        <w:jc w:val="center"/>
      </w:pPr>
    </w:p>
    <w:p w:rsidR="00B82B7A" w:rsidRDefault="00B82B7A" w:rsidP="00587D6D">
      <w:pPr>
        <w:ind w:firstLine="0"/>
      </w:pPr>
    </w:p>
    <w:p w:rsidR="00B82B7A" w:rsidRDefault="00515A3A" w:rsidP="00587D6D">
      <w:pPr>
        <w:ind w:firstLine="0"/>
        <w:jc w:val="center"/>
      </w:pPr>
      <w:r>
        <w:t>Name</w:t>
      </w:r>
    </w:p>
    <w:p w:rsidR="00B82B7A" w:rsidRDefault="00515A3A" w:rsidP="00587D6D">
      <w:pPr>
        <w:ind w:firstLine="0"/>
        <w:jc w:val="center"/>
      </w:pPr>
      <w:r>
        <w:t>Institution</w:t>
      </w:r>
      <w:r w:rsidR="00587D6D">
        <w:t xml:space="preserve"> of Affiliation</w:t>
      </w:r>
      <w:bookmarkStart w:id="0" w:name="_GoBack"/>
      <w:bookmarkEnd w:id="0"/>
    </w:p>
    <w:p w:rsidR="00B82B7A" w:rsidRDefault="00515A3A" w:rsidP="00587D6D">
      <w:pPr>
        <w:ind w:firstLine="0"/>
        <w:jc w:val="center"/>
      </w:pPr>
      <w:r>
        <w:t>Professor</w:t>
      </w:r>
    </w:p>
    <w:p w:rsidR="00B82B7A" w:rsidRDefault="00515A3A" w:rsidP="00587D6D">
      <w:pPr>
        <w:ind w:firstLine="0"/>
        <w:jc w:val="center"/>
      </w:pPr>
      <w:r>
        <w:t>Date</w:t>
      </w:r>
    </w:p>
    <w:p w:rsidR="00B82B7A" w:rsidRDefault="00B82B7A">
      <w:pPr>
        <w:rPr>
          <w:b/>
        </w:rPr>
      </w:pPr>
    </w:p>
    <w:p w:rsidR="00B82B7A" w:rsidRDefault="00B82B7A">
      <w:pPr>
        <w:rPr>
          <w:b/>
        </w:rPr>
      </w:pPr>
    </w:p>
    <w:p w:rsidR="00B82B7A" w:rsidRDefault="00B82B7A">
      <w:pPr>
        <w:rPr>
          <w:b/>
        </w:rPr>
      </w:pPr>
    </w:p>
    <w:p w:rsidR="00B82B7A" w:rsidRDefault="00B82B7A">
      <w:pPr>
        <w:rPr>
          <w:b/>
        </w:rPr>
      </w:pPr>
    </w:p>
    <w:p w:rsidR="00B82B7A" w:rsidRDefault="00B82B7A">
      <w:pPr>
        <w:rPr>
          <w:b/>
        </w:rPr>
      </w:pPr>
    </w:p>
    <w:p w:rsidR="00B82B7A" w:rsidRDefault="00B82B7A">
      <w:pPr>
        <w:rPr>
          <w:b/>
        </w:rPr>
      </w:pPr>
    </w:p>
    <w:p w:rsidR="00B82B7A" w:rsidRDefault="00B82B7A">
      <w:pPr>
        <w:rPr>
          <w:b/>
        </w:rPr>
      </w:pPr>
    </w:p>
    <w:p w:rsidR="00B82B7A" w:rsidRDefault="00B82B7A">
      <w:pPr>
        <w:rPr>
          <w:b/>
        </w:rPr>
      </w:pPr>
    </w:p>
    <w:p w:rsidR="00B82B7A" w:rsidRDefault="00B82B7A">
      <w:pPr>
        <w:rPr>
          <w:b/>
        </w:rPr>
      </w:pPr>
    </w:p>
    <w:p w:rsidR="00B82B7A" w:rsidRDefault="00B82B7A">
      <w:pPr>
        <w:rPr>
          <w:b/>
        </w:rPr>
      </w:pPr>
    </w:p>
    <w:p w:rsidR="00B82B7A" w:rsidRDefault="00B82B7A">
      <w:pPr>
        <w:rPr>
          <w:b/>
        </w:rPr>
      </w:pPr>
    </w:p>
    <w:p w:rsidR="00B82B7A" w:rsidRDefault="00B82B7A">
      <w:pPr>
        <w:rPr>
          <w:b/>
        </w:rPr>
      </w:pPr>
    </w:p>
    <w:p w:rsidR="00B82B7A" w:rsidRDefault="00515A3A" w:rsidP="00AF160E">
      <w:pPr>
        <w:ind w:firstLine="0"/>
        <w:jc w:val="center"/>
        <w:rPr>
          <w:b/>
        </w:rPr>
      </w:pPr>
      <w:r>
        <w:rPr>
          <w:b/>
        </w:rPr>
        <w:t>Data and Hypothesis</w:t>
      </w:r>
    </w:p>
    <w:p w:rsidR="00B82B7A" w:rsidRDefault="00515A3A">
      <w:pPr>
        <w:pStyle w:val="ListParagraph"/>
        <w:numPr>
          <w:ilvl w:val="0"/>
          <w:numId w:val="1"/>
        </w:numPr>
        <w:ind w:left="568" w:hanging="284"/>
        <w:jc w:val="center"/>
        <w:rPr>
          <w:b/>
        </w:rPr>
      </w:pPr>
      <w:r>
        <w:rPr>
          <w:b/>
        </w:rPr>
        <w:t>Three Different Data Sets</w:t>
      </w:r>
    </w:p>
    <w:p w:rsidR="00B82B7A" w:rsidRDefault="00515A3A" w:rsidP="00AF160E">
      <w:pPr>
        <w:ind w:firstLine="568"/>
      </w:pPr>
      <w:r>
        <w:lastRenderedPageBreak/>
        <w:t>The data set in this bar graph is from a survey I conducted.  I surveyed my friends to find out the kind of movies they liked the most. I interviewed twenty of my friends</w:t>
      </w:r>
      <w:r>
        <w:rPr>
          <w:lang w:val="en-US"/>
        </w:rPr>
        <w:t>,</w:t>
      </w:r>
      <w:r>
        <w:t xml:space="preserve"> and they all had different responses. Four of them liked comedy the most, five of them action movies, eight of them liked romance movies, while three others liked Sci-fi movies.</w:t>
      </w:r>
    </w:p>
    <w:p w:rsidR="00B82B7A" w:rsidRDefault="00515A3A">
      <w:r>
        <w:rPr>
          <w:noProof/>
          <w:lang w:val="en-US"/>
        </w:rPr>
        <w:drawing>
          <wp:inline distT="0" distB="0" distL="114300" distR="114300">
            <wp:extent cx="5486400" cy="3200400"/>
            <wp:effectExtent l="0" t="0" r="0" b="0"/>
            <wp:docPr id="102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82B7A" w:rsidRDefault="00515A3A" w:rsidP="00AF160E">
      <w:pPr>
        <w:ind w:firstLine="720"/>
      </w:pPr>
      <w:r>
        <w:t>According to my bar graph, category 4 represents the eight people who like romance movies the most. Category 3 represents the five friends who like action movies the most. Category 1 is a representation of the four friends who like comic movies the most</w:t>
      </w:r>
      <w:r>
        <w:rPr>
          <w:lang w:val="en-US"/>
        </w:rPr>
        <w:t>,</w:t>
      </w:r>
      <w:r>
        <w:t xml:space="preserve"> while category 2 is a representation of the three friends who like Sci-Fi movies the most.</w:t>
      </w:r>
    </w:p>
    <w:p w:rsidR="00B82B7A" w:rsidRDefault="00515A3A" w:rsidP="00AF160E">
      <w:pPr>
        <w:ind w:firstLine="720"/>
      </w:pPr>
      <w:r>
        <w:t>I chose to display my data using a bar graph because it enabled me to show each data category in an appropriate frequency distribution. The bars also display relative numbers of four categories of movies. The bar graph also helped me to summarize a significant data set in a clear visual form. The bar graph also illustrates the distribution of movie likes better and in an easy manner. The bar graph also enabled me to present values in a reasonable and accurate way. The bar graph is also easy to interpret</w:t>
      </w:r>
      <w:r>
        <w:rPr>
          <w:lang w:val="en-US"/>
        </w:rPr>
        <w:t>,</w:t>
      </w:r>
      <w:r>
        <w:t xml:space="preserve"> and this influenced my choice of it.</w:t>
      </w:r>
    </w:p>
    <w:p w:rsidR="00B82B7A" w:rsidRDefault="00515A3A">
      <w:pPr>
        <w:ind w:left="284" w:hanging="284"/>
        <w:jc w:val="center"/>
        <w:rPr>
          <w:b/>
        </w:rPr>
      </w:pPr>
      <w:r>
        <w:rPr>
          <w:b/>
        </w:rPr>
        <w:t>Scatter Plots</w:t>
      </w:r>
    </w:p>
    <w:p w:rsidR="00B82B7A" w:rsidRDefault="00515A3A" w:rsidP="00AF160E">
      <w:pPr>
        <w:ind w:firstLine="720"/>
      </w:pPr>
      <w:r>
        <w:lastRenderedPageBreak/>
        <w:t xml:space="preserve">My scatter plots display the data I obtained from a friend who sells ice creams. The scatter plots show the relationship between the costs of selling ice cream in United States dollars versus the temperature of the ice cream in degrees Celsius. As such, ice cream at the temperature of 14.2 degrees Celsius is sold at 215 United States dollars. Ice cream at 16.4 degrees Celsius is sold at 325 United States dollars. Ice cream at 11.9 degrees Celsius is sold at 185 United States dollars. Ice cream at 15.2 degrees Celsius is sold at 332 United States dollars. Ice cream at the temperature of 18.5 degrees Celsius is sold at 406 United States dollars. Ice cream at the temperature of 22.1 degrees Celsius is sold at 522 United States dollars. </w:t>
      </w:r>
    </w:p>
    <w:p w:rsidR="00B82B7A" w:rsidRDefault="00515A3A" w:rsidP="00AF160E">
      <w:pPr>
        <w:ind w:firstLine="720"/>
      </w:pPr>
      <w:r>
        <w:t>Ice cream at the temperature of 19.4 degrees Celsius is sold at 412 United States dollars. At the same time, ice cream at the temperature of 25.1 degrees Celsius is sold at 614 United States dollars. Ice cream at the temperature of 23.4 degrees Celsius is sold at 544 United States dollars. Ice cream at the temperature of 18.1 degrees Celsius is sold at 421 United States dollars. Ice cream at the temperature of 22.6 degrees Celsius is sold at 445 United States dollars</w:t>
      </w:r>
      <w:r>
        <w:rPr>
          <w:lang w:val="en-US"/>
        </w:rPr>
        <w:t>,</w:t>
      </w:r>
      <w:r>
        <w:t xml:space="preserve"> and finally</w:t>
      </w:r>
      <w:r>
        <w:rPr>
          <w:lang w:val="en-US"/>
        </w:rPr>
        <w:t>,</w:t>
      </w:r>
      <w:r>
        <w:t xml:space="preserve"> ice cream at the temperature of 17.2 degrees Celsius goes at 408 United States dollars. The price is different for the twelve different degrees of temperature the ice cream is.</w:t>
      </w:r>
    </w:p>
    <w:p w:rsidR="00B82B7A" w:rsidRDefault="00515A3A" w:rsidP="00AF160E">
      <w:pPr>
        <w:ind w:firstLine="720"/>
      </w:pPr>
      <w:r>
        <w:t>I chose the scatter dots because I wanted to clearly show the two variables; the temperature in which ice cream is in degrees and the amount in dollars in which it is sold at. Since the relationship between temperature and the price is non-linear, scatter dots was the best method to bring out that pattern. I also chose scatter dots because I wanted to illustrate the ranges in temperature and prices from the minimum to the maximum values. It was also easy for me to plot the diagram. Further, the observation and reading of the values is straightforward</w:t>
      </w:r>
      <w:r>
        <w:rPr>
          <w:lang w:val="en-US"/>
        </w:rPr>
        <w:t>,</w:t>
      </w:r>
      <w:r>
        <w:t xml:space="preserve"> and this also prompted me to use scatter dots.</w:t>
      </w:r>
    </w:p>
    <w:p w:rsidR="00B82B7A" w:rsidRDefault="00515A3A">
      <w:pPr>
        <w:ind w:left="284" w:firstLine="0"/>
        <w:rPr>
          <w:b/>
        </w:rPr>
      </w:pPr>
      <w:r>
        <w:rPr>
          <w:b/>
          <w:noProof/>
          <w:lang w:val="en-US"/>
        </w:rPr>
        <w:lastRenderedPageBreak/>
        <w:drawing>
          <wp:inline distT="0" distB="0" distL="114300" distR="114300">
            <wp:extent cx="5486400" cy="3200400"/>
            <wp:effectExtent l="0" t="0" r="0" b="0"/>
            <wp:docPr id="1029"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82B7A" w:rsidRDefault="00515A3A">
      <w:pPr>
        <w:ind w:left="284" w:hanging="284"/>
        <w:jc w:val="center"/>
        <w:rPr>
          <w:b/>
        </w:rPr>
      </w:pPr>
      <w:r>
        <w:rPr>
          <w:b/>
        </w:rPr>
        <w:t>Pie Chart</w:t>
      </w:r>
    </w:p>
    <w:p w:rsidR="00B82B7A" w:rsidRDefault="00515A3A">
      <w:pPr>
        <w:rPr>
          <w:b/>
        </w:rPr>
      </w:pPr>
      <w:r>
        <w:rPr>
          <w:b/>
          <w:noProof/>
          <w:lang w:val="en-US"/>
        </w:rPr>
        <w:drawing>
          <wp:inline distT="0" distB="0" distL="114300" distR="114300">
            <wp:extent cx="5486400" cy="3200400"/>
            <wp:effectExtent l="0" t="0" r="0" b="0"/>
            <wp:docPr id="1031"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82B7A" w:rsidRDefault="00515A3A" w:rsidP="00AF160E">
      <w:pPr>
        <w:ind w:firstLine="720"/>
      </w:pPr>
      <w:r>
        <w:t xml:space="preserve">The data in the pie chart was obtained after conducting an online survey on the distribution of car sales made by a local car dealer in the year 2019. The pie chart shows the distribution of car sales between six companies with general motors selling the most cars making 35% of cars sold by the car seller. Ford is the second best-selling company as it accounted for 24% of all the cars sold. Tata is the third most selling company as it accounted </w:t>
      </w:r>
      <w:r>
        <w:lastRenderedPageBreak/>
        <w:t xml:space="preserve">for 15% of all cars sold. Hyundai, on the other hand, accounted for 12% of all the cars sold by the vehicle seller. </w:t>
      </w:r>
      <w:proofErr w:type="spellStart"/>
      <w:r>
        <w:t>Maruti</w:t>
      </w:r>
      <w:proofErr w:type="spellEnd"/>
      <w:r>
        <w:t xml:space="preserve"> only accounted for 10% of all the cars sold while Fiat had the least sold cars of 4%.</w:t>
      </w:r>
    </w:p>
    <w:p w:rsidR="00B82B7A" w:rsidRDefault="00515A3A" w:rsidP="00AF160E">
      <w:pPr>
        <w:ind w:firstLine="720"/>
      </w:pPr>
      <w:r>
        <w:t>Pie charts are efficient in displaying relative proportions of multiple classes of data</w:t>
      </w:r>
      <w:r>
        <w:rPr>
          <w:lang w:val="en-US"/>
        </w:rPr>
        <w:t>,</w:t>
      </w:r>
      <w:r>
        <w:t xml:space="preserve"> and this influenced me to use them to show the distribution of car sales between multiple companies. It was also possible for me </w:t>
      </w:r>
      <w:r>
        <w:rPr>
          <w:lang w:val="en-US"/>
        </w:rPr>
        <w:t xml:space="preserve">to </w:t>
      </w:r>
      <w:r>
        <w:t xml:space="preserve">vary the size of the circle and make it proportional to the total quantity of the car sales each circle represents.  My intention to summarize the percentage of car sales for the six companies visually was also fulfilled by pie charts. Pie charts also need very minimal explanations because they are self-explanatory. The ease of understanding the data presented in pie charts as well as the ability for pie chart viewers to easily identify how consistent and accurate the data is also prompted me to use pie charts. </w:t>
      </w:r>
    </w:p>
    <w:p w:rsidR="00B82B7A" w:rsidRDefault="00515A3A">
      <w:pPr>
        <w:ind w:left="720" w:hanging="720"/>
        <w:jc w:val="center"/>
        <w:rPr>
          <w:rFonts w:eastAsia="SimSun"/>
          <w:b/>
          <w:bCs/>
          <w:lang w:val="en-US" w:eastAsia="ja-JP"/>
        </w:rPr>
      </w:pPr>
      <w:r>
        <w:rPr>
          <w:b/>
        </w:rPr>
        <w:t xml:space="preserve">2. </w:t>
      </w:r>
      <w:r>
        <w:rPr>
          <w:rFonts w:eastAsia="SimSun"/>
          <w:b/>
          <w:bCs/>
          <w:lang w:val="en-US" w:eastAsia="ja-JP"/>
        </w:rPr>
        <w:t>Eliminating the Dependency on Opioids Does Not Reduce Crimes Associated With Opioids Abuse</w:t>
      </w:r>
    </w:p>
    <w:p w:rsidR="00B82B7A" w:rsidRDefault="00515A3A">
      <w:pPr>
        <w:ind w:firstLine="720"/>
        <w:rPr>
          <w:rFonts w:eastAsia="SimSun"/>
          <w:lang w:val="en-US" w:eastAsia="ja-JP"/>
        </w:rPr>
      </w:pPr>
      <w:r>
        <w:rPr>
          <w:rFonts w:eastAsia="SimSun"/>
          <w:lang w:val="en-US" w:eastAsia="ja-JP"/>
        </w:rPr>
        <w:t xml:space="preserve">The dependence on opioids influences the attitudes, beliefs, and behaviors of the opioid users towards the use of opioids. Dependency reduction, therefore, helps opioid users to change their attitudes and understand that the use of these drugs in harmful to their health. Reducing the dependence on opioids also helps these users reform completely and </w:t>
      </w:r>
      <w:proofErr w:type="gramStart"/>
      <w:r>
        <w:rPr>
          <w:rFonts w:eastAsia="SimSun"/>
          <w:lang w:val="en-US" w:eastAsia="ja-JP"/>
        </w:rPr>
        <w:t>fail</w:t>
      </w:r>
      <w:proofErr w:type="gramEnd"/>
      <w:r>
        <w:rPr>
          <w:rFonts w:eastAsia="SimSun"/>
          <w:lang w:val="en-US" w:eastAsia="ja-JP"/>
        </w:rPr>
        <w:t xml:space="preserve"> to relapse into the use of opioids once they quit use. Consequently, these individuals will abandon the criminal activities they previously engaged in while under the influence of opioids. Dependence also makes the opioid users engage in criminal activities like theft to acquire some money to buy these drugs. Once these people either quit using opioids or become independent of using these opioids, then they definitely will cease engaging in such-opioid related criminal activities.</w:t>
      </w:r>
    </w:p>
    <w:p w:rsidR="00B82B7A" w:rsidRDefault="00515A3A" w:rsidP="00AF160E">
      <w:pPr>
        <w:ind w:firstLine="720"/>
      </w:pPr>
      <w:r>
        <w:rPr>
          <w:rFonts w:eastAsia="SimSun"/>
          <w:lang w:val="en-US" w:eastAsia="ja-JP"/>
        </w:rPr>
        <w:t xml:space="preserve">The programs aimed at reducing dependence on opioids are also comprehensive and often influence the participants going through it to stop the dependence. According to   </w:t>
      </w:r>
      <w:r>
        <w:lastRenderedPageBreak/>
        <w:t>https://www.drugabuse.gov/related-topics/criminal-justice</w:t>
      </w:r>
      <w:r>
        <w:rPr>
          <w:rFonts w:eastAsia="SimSun"/>
          <w:lang w:val="en-US" w:eastAsia="ja-JP"/>
        </w:rPr>
        <w:t>, these programs often use judges, counselors, caseworkers, and social workers, as the trainers. These individuals use effective strategies that ultimately change the thinking of opioid users and therefore make them free of opioids. Consequently, these training also challenge opioid users on alternative activities to engage in as opposed to engaging in crime. The opioid users, therefore, learn other skills that help them generate income for themselves and thus become too busy to have time to engage in criminal activities. Reduced dependency on opioids, therefore, reduces the chances of individuals engaging in opioid-related criminal activities.</w:t>
      </w:r>
    </w:p>
    <w:p w:rsidR="00B82B7A" w:rsidRDefault="00515A3A">
      <w:pPr>
        <w:ind w:firstLine="720"/>
        <w:rPr>
          <w:rFonts w:eastAsia="SimSun"/>
          <w:lang w:val="en-US" w:eastAsia="ja-JP"/>
        </w:rPr>
      </w:pPr>
      <w:r>
        <w:rPr>
          <w:rFonts w:eastAsia="SimSun"/>
          <w:lang w:val="en-US" w:eastAsia="ja-JP"/>
        </w:rPr>
        <w:t>The National Institute on Drug Abuse also acknowledges that training criminal offenders who have been arrested because of engaging in opioid-related criminal activities is effective in reducing their dependence on these drugs. The organization has materials that are customized to provide scientific facts on the impacts of drug use, misuse, and addiction. Once these criminals have a good understanding of how drugs affect them and how misuse and addiction come about, they tend to reduce their dependence on drugs like opioids, and as a result, they cease to engage in the criminal activities they would otherwise engage in if they were dependent on opioids.</w:t>
      </w:r>
    </w:p>
    <w:p w:rsidR="00B82B7A" w:rsidRDefault="00515A3A" w:rsidP="00AF160E">
      <w:pPr>
        <w:ind w:firstLine="720"/>
        <w:rPr>
          <w:rFonts w:eastAsia="SimSun"/>
          <w:lang w:val="en-US" w:eastAsia="ja-JP"/>
        </w:rPr>
      </w:pPr>
      <w:r>
        <w:rPr>
          <w:rFonts w:eastAsia="SimSun"/>
          <w:lang w:val="en-US" w:eastAsia="ja-JP"/>
        </w:rPr>
        <w:t xml:space="preserve">The brain wallet card is also used to help people who leave criminal justice systems to transition effectively to a better lifestyle. The tool is specifically designed to help individuals released from prisons to transition smoothly into an environment that is less structured. Counselors thus customize these tools to meet the particular needs of different offenders by helping them identify triggers that could make them relapse to a drug like opioid dependence, which would influence their engagement in criminal activities. The toolkit also has information on useful resources and helplines in case these offenders need some help after going back home from prison. The wallets are portable and can be kept in pockets, wallets, mobile phones, and purses for ease of access. </w:t>
      </w:r>
    </w:p>
    <w:p w:rsidR="00B82B7A" w:rsidRDefault="00515A3A" w:rsidP="00AF160E">
      <w:pPr>
        <w:ind w:firstLine="720"/>
      </w:pPr>
      <w:r>
        <w:rPr>
          <w:rFonts w:eastAsia="SimSun"/>
          <w:lang w:val="en-US" w:eastAsia="ja-JP"/>
        </w:rPr>
        <w:lastRenderedPageBreak/>
        <w:t>The use of these cards is therefore efficient in reforming the behavior of opioid-dependent individuals and, in result, helps them quit using opioids or greatly reduce the consumption of the same. With the information in the cards, these individuals hardly engage in criminal activities as they clearly understand the consequences of crime (</w:t>
      </w:r>
      <w:hyperlink r:id="rId12" w:history="1">
        <w:r>
          <w:rPr>
            <w:rStyle w:val="Hyperlink"/>
          </w:rPr>
          <w:t>https://www.drugabuse.gov/related-topics/criminal-justice</w:t>
        </w:r>
      </w:hyperlink>
      <w:r>
        <w:t>).</w:t>
      </w:r>
      <w:r>
        <w:rPr>
          <w:rFonts w:eastAsia="SimSun"/>
          <w:lang w:val="en-US" w:eastAsia="ja-JP"/>
        </w:rPr>
        <w:t>Reduced dependence on opioids hence reduces the chances of individuals engaging in opioid-related criminal activities.</w:t>
      </w:r>
    </w:p>
    <w:p w:rsidR="00B82B7A" w:rsidRDefault="00515A3A" w:rsidP="00AF160E">
      <w:pPr>
        <w:ind w:firstLine="720"/>
        <w:rPr>
          <w:rFonts w:eastAsia="SimSun"/>
          <w:lang w:val="en-US" w:eastAsia="ja-JP"/>
        </w:rPr>
      </w:pPr>
      <w:r>
        <w:rPr>
          <w:rFonts w:eastAsia="SimSun"/>
          <w:lang w:val="en-US" w:eastAsia="ja-JP"/>
        </w:rPr>
        <w:t>The National Institute on Drug Abuse has also customized the language that is used when addressing criminals arrested for crimes that are drug-related (</w:t>
      </w:r>
      <w:hyperlink r:id="rId13" w:history="1">
        <w:r>
          <w:rPr>
            <w:rStyle w:val="Hyperlink"/>
          </w:rPr>
          <w:t>https://www.drugabuse.gov/related-topics/criminal-justice</w:t>
        </w:r>
      </w:hyperlink>
      <w:r>
        <w:t>).</w:t>
      </w:r>
      <w:r>
        <w:rPr>
          <w:rFonts w:eastAsia="SimSun"/>
          <w:lang w:val="en-US" w:eastAsia="ja-JP"/>
        </w:rPr>
        <w:t xml:space="preserve"> The science of drug use discussion points is therefore intended to give judges and other key people who interact and talk with criminal offenders, a simple and customized language. This language is vital for explaining the risks of using different drugs and can also help with the treatment of drug-dependent criminals. While at the correctional facilities, these criminals are addressed in this language. </w:t>
      </w:r>
    </w:p>
    <w:p w:rsidR="00B82B7A" w:rsidRDefault="00515A3A" w:rsidP="00AF160E">
      <w:pPr>
        <w:ind w:firstLine="720"/>
        <w:rPr>
          <w:rFonts w:eastAsia="SimSun"/>
          <w:lang w:val="en-US" w:eastAsia="ja-JP"/>
        </w:rPr>
      </w:pPr>
      <w:r>
        <w:rPr>
          <w:rFonts w:eastAsia="SimSun"/>
          <w:lang w:val="en-US" w:eastAsia="ja-JP"/>
        </w:rPr>
        <w:t>Counselors who counsel these offenders also use this language to change the behavior and attitudes of these criminal offenders. By the time the offenders are released from correctional facilities, they usually will have understood how drugs are harmful to them. This understanding contributes to their behavior change, and some of them end up abandoning not only the criminal activities they previously engaged in but also the drugs that influenced them to engage in these criminal activities (</w:t>
      </w:r>
      <w:hyperlink r:id="rId14" w:history="1">
        <w:r>
          <w:rPr>
            <w:rStyle w:val="Hyperlink"/>
          </w:rPr>
          <w:t>https://www.drugabuse.gov/related-topics/criminal-justice</w:t>
        </w:r>
      </w:hyperlink>
      <w:r>
        <w:t>).</w:t>
      </w:r>
      <w:r>
        <w:rPr>
          <w:rFonts w:eastAsia="SimSun"/>
          <w:lang w:val="en-US" w:eastAsia="ja-JP"/>
        </w:rPr>
        <w:t>The result is reduced dependence on drugs like opioids and non-engagement in opioid-related criminal activities.</w:t>
      </w:r>
    </w:p>
    <w:p w:rsidR="00B82B7A" w:rsidRDefault="00515A3A" w:rsidP="00AF160E">
      <w:pPr>
        <w:ind w:firstLine="720"/>
        <w:rPr>
          <w:rFonts w:eastAsia="SimSun"/>
          <w:bCs/>
          <w:lang w:val="en-US" w:eastAsia="ja-JP"/>
        </w:rPr>
      </w:pPr>
      <w:r>
        <w:rPr>
          <w:rFonts w:eastAsia="SimSun"/>
          <w:lang w:val="en-US" w:eastAsia="ja-JP"/>
        </w:rPr>
        <w:t xml:space="preserve">It is, therefore, evident that there are many activities and interventions which are geared towards reforming people who have a dependence on drugs like opioids. These interventions are also available in correctional facilities where these criminals are tried but </w:t>
      </w:r>
      <w:r>
        <w:rPr>
          <w:rFonts w:eastAsia="SimSun"/>
          <w:lang w:val="en-US" w:eastAsia="ja-JP"/>
        </w:rPr>
        <w:lastRenderedPageBreak/>
        <w:t xml:space="preserve">are trained to transit effectively into society after they finish their trial terms. These interventions have been found to be very effective in reducing opioid dependence. Since the interventions are both transformative and correctional, they help the offenders find better things to do after serving trials. These offenders, therefore, become too busy and knowledgeable to participate in opioid-related criminal activities. These results, therefore, make the hypothesis that </w:t>
      </w:r>
      <w:r>
        <w:rPr>
          <w:rFonts w:eastAsia="SimSun"/>
          <w:bCs/>
          <w:lang w:val="en-US" w:eastAsia="ja-JP"/>
        </w:rPr>
        <w:t>eliminating the dependency on opioids does not reduce crimes associated with opioids abuse null.</w:t>
      </w:r>
    </w:p>
    <w:p w:rsidR="00B82B7A" w:rsidRDefault="00B82B7A">
      <w:pPr>
        <w:ind w:firstLine="720"/>
        <w:rPr>
          <w:rFonts w:eastAsia="SimSun"/>
          <w:lang w:val="en-US" w:eastAsia="ja-JP"/>
        </w:rPr>
      </w:pPr>
    </w:p>
    <w:p w:rsidR="00B82B7A" w:rsidRDefault="00B82B7A">
      <w:pPr>
        <w:rPr>
          <w:b/>
        </w:rPr>
      </w:pPr>
    </w:p>
    <w:p w:rsidR="00B82B7A" w:rsidRDefault="00B82B7A">
      <w:pPr>
        <w:rPr>
          <w:b/>
        </w:rPr>
      </w:pPr>
    </w:p>
    <w:p w:rsidR="00B82B7A" w:rsidRDefault="00B82B7A"/>
    <w:p w:rsidR="00B82B7A" w:rsidRDefault="00B82B7A"/>
    <w:p w:rsidR="00B82B7A" w:rsidRDefault="00B82B7A"/>
    <w:p w:rsidR="00B82B7A" w:rsidRDefault="00B82B7A"/>
    <w:p w:rsidR="00B82B7A" w:rsidRDefault="00B82B7A"/>
    <w:p w:rsidR="00B82B7A" w:rsidRDefault="00B82B7A"/>
    <w:p w:rsidR="00B82B7A" w:rsidRDefault="00B82B7A"/>
    <w:p w:rsidR="00B82B7A" w:rsidRDefault="00B82B7A"/>
    <w:p w:rsidR="00B82B7A" w:rsidRDefault="00B82B7A"/>
    <w:p w:rsidR="00B82B7A" w:rsidRDefault="00B82B7A"/>
    <w:p w:rsidR="00B82B7A" w:rsidRDefault="00B82B7A"/>
    <w:p w:rsidR="00B82B7A" w:rsidRDefault="00B82B7A"/>
    <w:p w:rsidR="00B82B7A" w:rsidRDefault="00B82B7A"/>
    <w:p w:rsidR="00B82B7A" w:rsidRDefault="00B82B7A"/>
    <w:p w:rsidR="00AF160E" w:rsidRDefault="00AF160E" w:rsidP="00AF160E">
      <w:pPr>
        <w:ind w:firstLine="0"/>
      </w:pPr>
    </w:p>
    <w:p w:rsidR="00B82B7A" w:rsidRDefault="00515A3A" w:rsidP="00AF160E">
      <w:pPr>
        <w:ind w:firstLine="0"/>
        <w:jc w:val="center"/>
      </w:pPr>
      <w:r>
        <w:lastRenderedPageBreak/>
        <w:t>References</w:t>
      </w:r>
    </w:p>
    <w:p w:rsidR="00B82B7A" w:rsidRDefault="00755646">
      <w:pPr>
        <w:ind w:left="284" w:hanging="284"/>
      </w:pPr>
      <w:hyperlink r:id="rId15" w:history="1">
        <w:r w:rsidR="00515A3A">
          <w:rPr>
            <w:rStyle w:val="Hyperlink"/>
          </w:rPr>
          <w:t>https://www.drugabuse.gov/related-topics/criminal-justice</w:t>
        </w:r>
      </w:hyperlink>
    </w:p>
    <w:p w:rsidR="00B82B7A" w:rsidRDefault="00B82B7A">
      <w:pPr>
        <w:ind w:left="284" w:hanging="284"/>
        <w:rPr>
          <w:b/>
        </w:rPr>
      </w:pPr>
    </w:p>
    <w:sectPr w:rsidR="00B82B7A">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646" w:rsidRDefault="00755646">
      <w:pPr>
        <w:spacing w:line="240" w:lineRule="auto"/>
      </w:pPr>
      <w:r>
        <w:separator/>
      </w:r>
    </w:p>
  </w:endnote>
  <w:endnote w:type="continuationSeparator" w:id="0">
    <w:p w:rsidR="00755646" w:rsidRDefault="007556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646" w:rsidRDefault="00755646">
      <w:pPr>
        <w:spacing w:line="240" w:lineRule="auto"/>
      </w:pPr>
      <w:r>
        <w:separator/>
      </w:r>
    </w:p>
  </w:footnote>
  <w:footnote w:type="continuationSeparator" w:id="0">
    <w:p w:rsidR="00755646" w:rsidRDefault="0075564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B7A" w:rsidRDefault="00515A3A">
    <w:pPr>
      <w:pStyle w:val="Header"/>
      <w:jc w:val="right"/>
    </w:pPr>
    <w:r>
      <w:fldChar w:fldCharType="begin"/>
    </w:r>
    <w:r>
      <w:instrText xml:space="preserve"> PAGE   \* MERGEFORMAT </w:instrText>
    </w:r>
    <w:r>
      <w:fldChar w:fldCharType="separate"/>
    </w:r>
    <w:r w:rsidR="00587D6D">
      <w:rPr>
        <w:noProof/>
      </w:rPr>
      <w:t>1</w:t>
    </w:r>
    <w:r>
      <w:rPr>
        <w:noProof/>
      </w:rPr>
      <w:fldChar w:fldCharType="end"/>
    </w:r>
  </w:p>
  <w:p w:rsidR="00B82B7A" w:rsidRDefault="00B82B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90A6B996"/>
    <w:lvl w:ilvl="0" w:tplc="F8D6F52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nsid w:val="00000002"/>
    <w:multiLevelType w:val="hybridMultilevel"/>
    <w:tmpl w:val="77509A8E"/>
    <w:lvl w:ilvl="0" w:tplc="96DE466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nsid w:val="6A3833E2"/>
    <w:multiLevelType w:val="hybridMultilevel"/>
    <w:tmpl w:val="6A42DDD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B7A"/>
    <w:rsid w:val="00515A3A"/>
    <w:rsid w:val="00587D6D"/>
    <w:rsid w:val="00755646"/>
    <w:rsid w:val="00AF160E"/>
    <w:rsid w:val="00B82B7A"/>
    <w:rsid w:val="00E47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rugabuse.gov/related-topics/criminal-justi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drugabuse.gov/related-topics/criminal-justic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hyperlink" Target="https://www.drugabuse.gov/related-topics/criminal-justice" TargetMode="Externa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yperlink" Target="https://www.drugabuse.gov/related-topics/criminal-justice"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image" Target="../media/image1.jpeg"/></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The Distribution Of Favorite Types of Movies</a:t>
            </a:r>
          </a:p>
        </c:rich>
      </c:tx>
      <c:overlay val="0"/>
    </c:title>
    <c:autoTitleDeleted val="0"/>
    <c:view3D>
      <c:rotX val="15"/>
      <c:rotY val="20"/>
      <c:rAngAx val="1"/>
    </c:view3D>
    <c:floor>
      <c:thickness val="0"/>
      <c:spPr>
        <a:pattFill prst="pct5">
          <a:fgClr>
            <a:schemeClr val="accent1"/>
          </a:fgClr>
          <a:bgClr>
            <a:schemeClr val="bg1"/>
          </a:bgClr>
        </a:pattFill>
      </c:spPr>
    </c:floor>
    <c:sideWall>
      <c:thickness val="0"/>
    </c:sideWall>
    <c:backWall>
      <c:thickness val="0"/>
      <c:spPr>
        <a:ln>
          <a:solidFill>
            <a:schemeClr val="accent1"/>
          </a:solidFill>
        </a:ln>
      </c:spPr>
    </c:backWall>
    <c:plotArea>
      <c:layout/>
      <c:bar3DChart>
        <c:barDir val="bar"/>
        <c:grouping val="clustered"/>
        <c:varyColors val="0"/>
        <c:ser>
          <c:idx val="2"/>
          <c:order val="0"/>
          <c:tx>
            <c:strRef>
              <c:f>Sheet1!$D$1</c:f>
              <c:strCache>
                <c:ptCount val="1"/>
                <c:pt idx="0">
                  <c:v>Series 3</c:v>
                </c:pt>
              </c:strCache>
            </c:strRef>
          </c:tx>
          <c:invertIfNegative val="0"/>
          <c:dPt>
            <c:idx val="1"/>
            <c:invertIfNegative val="0"/>
            <c:bubble3D val="0"/>
            <c:spPr>
              <a:blipFill dpi="0" rotWithShape="1">
                <a:blip xmlns:r="http://schemas.openxmlformats.org/officeDocument/2006/relationships" r:embed="rId1"/>
                <a:srcRect/>
                <a:stretch>
                  <a:fillRect r="7000"/>
                </a:stretch>
              </a:blipFill>
            </c:spPr>
          </c:dPt>
          <c:dPt>
            <c:idx val="2"/>
            <c:invertIfNegative val="0"/>
            <c:bubble3D val="0"/>
            <c:spPr>
              <a:gradFill>
                <a:gsLst>
                  <a:gs pos="900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dPt>
          <c:dPt>
            <c:idx val="3"/>
            <c:invertIfNegative val="0"/>
            <c:bubble3D val="0"/>
            <c:spPr>
              <a:solidFill>
                <a:schemeClr val="accent1">
                  <a:alpha val="92000"/>
                </a:schemeClr>
              </a:solidFill>
            </c:spPr>
          </c:dPt>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ser>
        <c:dLbls>
          <c:showLegendKey val="0"/>
          <c:showVal val="0"/>
          <c:showCatName val="0"/>
          <c:showSerName val="0"/>
          <c:showPercent val="0"/>
          <c:showBubbleSize val="0"/>
        </c:dLbls>
        <c:gapWidth val="150"/>
        <c:gapDepth val="59"/>
        <c:shape val="pyramid"/>
        <c:axId val="313999744"/>
        <c:axId val="314001280"/>
        <c:axId val="0"/>
      </c:bar3DChart>
      <c:catAx>
        <c:axId val="313999744"/>
        <c:scaling>
          <c:orientation val="minMax"/>
        </c:scaling>
        <c:delete val="0"/>
        <c:axPos val="l"/>
        <c:majorTickMark val="out"/>
        <c:minorTickMark val="none"/>
        <c:tickLblPos val="nextTo"/>
        <c:crossAx val="314001280"/>
        <c:crosses val="autoZero"/>
        <c:auto val="1"/>
        <c:lblAlgn val="ctr"/>
        <c:lblOffset val="100"/>
        <c:noMultiLvlLbl val="0"/>
      </c:catAx>
      <c:valAx>
        <c:axId val="314001280"/>
        <c:scaling>
          <c:orientation val="minMax"/>
        </c:scaling>
        <c:delete val="0"/>
        <c:axPos val="b"/>
        <c:majorGridlines/>
        <c:numFmt formatCode="General" sourceLinked="1"/>
        <c:majorTickMark val="out"/>
        <c:minorTickMark val="none"/>
        <c:tickLblPos val="nextTo"/>
        <c:crossAx val="313999744"/>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The</a:t>
            </a:r>
            <a:r>
              <a:rPr lang="en-US" baseline="0"/>
              <a:t> Cost Of Ice Cream In Varying Degrees Of Temperature In United States Dollars</a:t>
            </a:r>
            <a:endParaRPr lang="en-US"/>
          </a:p>
        </c:rich>
      </c:tx>
      <c:overlay val="0"/>
    </c:title>
    <c:autoTitleDeleted val="0"/>
    <c:plotArea>
      <c:layout/>
      <c:scatterChart>
        <c:scatterStyle val="lineMarker"/>
        <c:varyColors val="0"/>
        <c:ser>
          <c:idx val="0"/>
          <c:order val="0"/>
          <c:tx>
            <c:strRef>
              <c:f>Sheet1!$B$1</c:f>
              <c:strCache>
                <c:ptCount val="1"/>
                <c:pt idx="0">
                  <c:v>Y-Values</c:v>
                </c:pt>
              </c:strCache>
            </c:strRef>
          </c:tx>
          <c:xVal>
            <c:numRef>
              <c:f>Sheet1!$A$2:$A$6</c:f>
              <c:numCache>
                <c:formatCode>General</c:formatCode>
                <c:ptCount val="5"/>
                <c:pt idx="0">
                  <c:v>14.2</c:v>
                </c:pt>
                <c:pt idx="1">
                  <c:v>16.399999999999999</c:v>
                </c:pt>
                <c:pt idx="2">
                  <c:v>11.9</c:v>
                </c:pt>
                <c:pt idx="3">
                  <c:v>15.2</c:v>
                </c:pt>
                <c:pt idx="4">
                  <c:v>18.5</c:v>
                </c:pt>
              </c:numCache>
            </c:numRef>
          </c:xVal>
          <c:yVal>
            <c:numRef>
              <c:f>Sheet1!$B$2:$B$6</c:f>
              <c:numCache>
                <c:formatCode>General</c:formatCode>
                <c:ptCount val="5"/>
                <c:pt idx="0">
                  <c:v>215</c:v>
                </c:pt>
                <c:pt idx="1">
                  <c:v>325</c:v>
                </c:pt>
                <c:pt idx="2">
                  <c:v>185</c:v>
                </c:pt>
                <c:pt idx="3">
                  <c:v>332</c:v>
                </c:pt>
                <c:pt idx="4">
                  <c:v>406</c:v>
                </c:pt>
              </c:numCache>
            </c:numRef>
          </c:yVal>
          <c:smooth val="0"/>
        </c:ser>
        <c:dLbls>
          <c:showLegendKey val="0"/>
          <c:showVal val="0"/>
          <c:showCatName val="0"/>
          <c:showSerName val="0"/>
          <c:showPercent val="0"/>
          <c:showBubbleSize val="0"/>
        </c:dLbls>
        <c:axId val="316450688"/>
        <c:axId val="316452224"/>
      </c:scatterChart>
      <c:valAx>
        <c:axId val="316450688"/>
        <c:scaling>
          <c:orientation val="minMax"/>
        </c:scaling>
        <c:delete val="0"/>
        <c:axPos val="b"/>
        <c:numFmt formatCode="General" sourceLinked="1"/>
        <c:majorTickMark val="out"/>
        <c:minorTickMark val="none"/>
        <c:tickLblPos val="nextTo"/>
        <c:crossAx val="316452224"/>
        <c:crosses val="autoZero"/>
        <c:crossBetween val="midCat"/>
      </c:valAx>
      <c:valAx>
        <c:axId val="316452224"/>
        <c:scaling>
          <c:orientation val="minMax"/>
        </c:scaling>
        <c:delete val="0"/>
        <c:axPos val="l"/>
        <c:majorGridlines/>
        <c:numFmt formatCode="General" sourceLinked="1"/>
        <c:majorTickMark val="out"/>
        <c:minorTickMark val="none"/>
        <c:tickLblPos val="nextTo"/>
        <c:crossAx val="316450688"/>
        <c:crosses val="autoZero"/>
        <c:crossBetween val="midCat"/>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Distribution</a:t>
            </a:r>
            <a:r>
              <a:rPr lang="en-US" baseline="0"/>
              <a:t> Of Car S</a:t>
            </a:r>
            <a:r>
              <a:rPr lang="en-US"/>
              <a:t>ales Between Six Companies</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dLbls>
            <c:dLbl>
              <c:idx val="0"/>
              <c:showLegendKey val="0"/>
              <c:showVal val="1"/>
              <c:showCatName val="0"/>
              <c:showSerName val="0"/>
              <c:showPercent val="0"/>
              <c:showBubbleSize val="0"/>
            </c:dLbl>
            <c:dLbl>
              <c:idx val="1"/>
              <c:showLegendKey val="0"/>
              <c:showVal val="1"/>
              <c:showCatName val="0"/>
              <c:showSerName val="0"/>
              <c:showPercent val="0"/>
              <c:showBubbleSize val="0"/>
            </c:dLbl>
            <c:dLbl>
              <c:idx val="2"/>
              <c:showLegendKey val="0"/>
              <c:showVal val="1"/>
              <c:showCatName val="0"/>
              <c:showSerName val="0"/>
              <c:showPercent val="0"/>
              <c:showBubbleSize val="0"/>
            </c:dLbl>
            <c:dLbl>
              <c:idx val="3"/>
              <c:showLegendKey val="0"/>
              <c:showVal val="1"/>
              <c:showCatName val="0"/>
              <c:showSerName val="0"/>
              <c:showPercent val="0"/>
              <c:showBubbleSize val="0"/>
            </c:dLbl>
            <c:dLbl>
              <c:idx val="4"/>
              <c:showLegendKey val="0"/>
              <c:showVal val="1"/>
              <c:showCatName val="0"/>
              <c:showSerName val="0"/>
              <c:showPercent val="0"/>
              <c:showBubbleSize val="0"/>
            </c:dLbl>
            <c:dLbl>
              <c:idx val="5"/>
              <c:showLegendKey val="0"/>
              <c:showVal val="1"/>
              <c:showCatName val="0"/>
              <c:showSerName val="0"/>
              <c:showPercent val="0"/>
              <c:showBubbleSize val="0"/>
            </c:dLbl>
            <c:showLegendKey val="0"/>
            <c:showVal val="0"/>
            <c:showCatName val="0"/>
            <c:showSerName val="0"/>
            <c:showPercent val="0"/>
            <c:showBubbleSize val="0"/>
          </c:dLbls>
          <c:cat>
            <c:strRef>
              <c:f>Sheet1!$A$2:$A$7</c:f>
              <c:strCache>
                <c:ptCount val="6"/>
                <c:pt idx="0">
                  <c:v>fiat</c:v>
                </c:pt>
                <c:pt idx="1">
                  <c:v>hyundai</c:v>
                </c:pt>
                <c:pt idx="2">
                  <c:v>tata</c:v>
                </c:pt>
                <c:pt idx="3">
                  <c:v>ford</c:v>
                </c:pt>
                <c:pt idx="4">
                  <c:v>general motors</c:v>
                </c:pt>
                <c:pt idx="5">
                  <c:v>maruti</c:v>
                </c:pt>
              </c:strCache>
            </c:strRef>
          </c:cat>
          <c:val>
            <c:numRef>
              <c:f>Sheet1!$B$2:$B$7</c:f>
              <c:numCache>
                <c:formatCode>0%</c:formatCode>
                <c:ptCount val="6"/>
                <c:pt idx="0">
                  <c:v>0.04</c:v>
                </c:pt>
                <c:pt idx="1">
                  <c:v>0.12</c:v>
                </c:pt>
                <c:pt idx="2">
                  <c:v>0.15</c:v>
                </c:pt>
                <c:pt idx="3">
                  <c:v>0.24</c:v>
                </c:pt>
                <c:pt idx="4">
                  <c:v>0.35</c:v>
                </c:pt>
                <c:pt idx="5">
                  <c:v>0.1</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90BE5-EFBE-40FF-90F8-B75892DFD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9</Pages>
  <Words>1655</Words>
  <Characters>9439</Characters>
  <Application>Microsoft Office Word</Application>
  <DocSecurity>0</DocSecurity>
  <Lines>78</Lines>
  <Paragraphs>22</Paragraphs>
  <ScaleCrop>false</ScaleCrop>
  <Company/>
  <LinksUpToDate>false</LinksUpToDate>
  <CharactersWithSpaces>11072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46</cp:revision>
  <dcterms:created xsi:type="dcterms:W3CDTF">2020-05-20T07:17:00Z</dcterms:created>
  <dcterms:modified xsi:type="dcterms:W3CDTF">2020-05-21T08:14:00Z</dcterms:modified>
</cp:coreProperties>
</file>